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55F143A5" w14:textId="77777777" w:rsidR="004A7B48" w:rsidRDefault="004A7B48" w:rsidP="004A7B48">
      <w:pPr>
        <w:jc w:val="center"/>
        <w:rPr>
          <w:rFonts w:ascii="Times New Roman" w:hAnsi="Times New Roman"/>
          <w:b/>
          <w:sz w:val="28"/>
        </w:rPr>
      </w:pPr>
      <w:r>
        <w:rPr>
          <w:rFonts w:ascii="Times New Roman" w:eastAsiaTheme="minorEastAsia" w:hAnsi="Times New Roman"/>
          <w:b/>
          <w:bCs/>
          <w:color w:val="171796"/>
          <w:sz w:val="28"/>
          <w:szCs w:val="40"/>
          <w:lang w:eastAsia="hr-HR"/>
        </w:rPr>
        <w:t>PODRŠKA UREDIMA ZA TRANSFER TEHNOLOGIJE</w:t>
      </w:r>
    </w:p>
    <w:p w14:paraId="294D17E8" w14:textId="77777777" w:rsidR="00732B98" w:rsidRPr="00732B98" w:rsidRDefault="00732B98" w:rsidP="00732B98">
      <w:pPr>
        <w:spacing w:before="0" w:after="0"/>
        <w:jc w:val="center"/>
        <w:rPr>
          <w:rFonts w:ascii="Times New Roman" w:eastAsia="Times New Roman" w:hAnsi="Times New Roman" w:cs="Times New Roman"/>
          <w:b/>
          <w:i/>
          <w:sz w:val="24"/>
          <w:szCs w:val="24"/>
        </w:rPr>
      </w:pPr>
      <w:r w:rsidRPr="00732B98">
        <w:rPr>
          <w:rFonts w:ascii="Times New Roman" w:eastAsia="Times New Roman" w:hAnsi="Times New Roman" w:cs="Times New Roman"/>
          <w:b/>
          <w:sz w:val="24"/>
          <w:szCs w:val="24"/>
        </w:rPr>
        <w:t>(</w:t>
      </w:r>
      <w:r w:rsidRPr="00732B98">
        <w:rPr>
          <w:rFonts w:ascii="Times New Roman" w:eastAsia="Times New Roman" w:hAnsi="Times New Roman" w:cs="Times New Roman"/>
          <w:b/>
          <w:i/>
          <w:sz w:val="24"/>
          <w:szCs w:val="24"/>
        </w:rPr>
        <w:t>referentni broj: C3.2.R3-I1.03)</w:t>
      </w:r>
    </w:p>
    <w:p w14:paraId="65E21B9C" w14:textId="77777777" w:rsidR="00136817" w:rsidRPr="002B2B9B" w:rsidRDefault="00136817" w:rsidP="00136817">
      <w:pPr>
        <w:jc w:val="center"/>
        <w:rPr>
          <w:rFonts w:ascii="Times New Roman" w:hAnsi="Times New Roman" w:cs="Times New Roman"/>
          <w:b/>
          <w:sz w:val="24"/>
        </w:rPr>
      </w:pPr>
      <w:bookmarkStart w:id="0" w:name="_GoBack"/>
      <w:bookmarkEnd w:id="0"/>
    </w:p>
    <w:p w14:paraId="2E4A0A09" w14:textId="6566B8EA" w:rsidR="00136817" w:rsidRPr="00243264" w:rsidRDefault="00136817"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 xml:space="preserve">PRILOG </w:t>
      </w:r>
      <w:r w:rsidR="00C43014">
        <w:rPr>
          <w:rFonts w:ascii="Times New Roman" w:eastAsiaTheme="minorEastAsia" w:hAnsi="Times New Roman" w:cs="Times New Roman"/>
          <w:b/>
          <w:bCs/>
          <w:color w:val="171796"/>
          <w:sz w:val="28"/>
          <w:szCs w:val="40"/>
          <w:lang w:eastAsia="hr-HR"/>
        </w:rPr>
        <w:t>6</w:t>
      </w:r>
      <w:r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0BCD8A8E"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67491C4F"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7AD001C6"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E10B8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0C842AF7"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4570EEF1"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8B69A5"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3760AD7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2EB95DC"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Default="00A9738A" w:rsidP="00D0103E">
      <w:pPr>
        <w:spacing w:before="0" w:after="0"/>
        <w:contextualSpacing/>
        <w:jc w:val="both"/>
        <w:rPr>
          <w:rFonts w:ascii="Times New Roman" w:eastAsia="Times New Roman" w:hAnsi="Times New Roman" w:cs="Times New Roman"/>
          <w:sz w:val="20"/>
          <w:szCs w:val="20"/>
          <w:lang w:eastAsia="hr-HR"/>
        </w:rPr>
      </w:pPr>
    </w:p>
    <w:p w14:paraId="7AA4DAE1" w14:textId="77777777" w:rsidR="008A02CC" w:rsidRPr="00DC1AD5" w:rsidRDefault="008A02CC"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lastRenderedPageBreak/>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lastRenderedPageBreak/>
              <w:t>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za dostavu ponuda u slučaju značajne </w:t>
            </w:r>
            <w:r w:rsidRPr="00182B1F">
              <w:rPr>
                <w:rFonts w:ascii="Times New Roman" w:eastAsia="Calibri" w:hAnsi="Times New Roman" w:cs="Times New Roman"/>
                <w:sz w:val="20"/>
                <w:szCs w:val="20"/>
              </w:rPr>
              <w:lastRenderedPageBreak/>
              <w:t>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w:t>
            </w:r>
            <w:r w:rsidRPr="00182B1F">
              <w:rPr>
                <w:rFonts w:ascii="Times New Roman" w:hAnsi="Times New Roman" w:cs="Times New Roman"/>
                <w:sz w:val="20"/>
                <w:szCs w:val="20"/>
              </w:rPr>
              <w:lastRenderedPageBreak/>
              <w:t xml:space="preserve">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7B250619" w:rsidR="00136817"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w:t>
            </w:r>
            <w:r w:rsidRPr="002C6F65">
              <w:rPr>
                <w:rFonts w:ascii="Times New Roman" w:eastAsia="Calibri" w:hAnsi="Times New Roman" w:cs="Times New Roman"/>
                <w:sz w:val="20"/>
                <w:szCs w:val="20"/>
              </w:rPr>
              <w:lastRenderedPageBreak/>
              <w:t>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520ED646" w14:textId="77777777" w:rsidR="00136817" w:rsidRPr="00136817" w:rsidRDefault="00136817" w:rsidP="00136817"/>
          <w:p w14:paraId="73C6D941" w14:textId="77777777" w:rsidR="00136817" w:rsidRPr="00136817" w:rsidRDefault="00136817" w:rsidP="00136817"/>
          <w:p w14:paraId="6E1FF5B0" w14:textId="77777777" w:rsidR="00136817" w:rsidRPr="00136817" w:rsidRDefault="00136817" w:rsidP="00136817"/>
          <w:p w14:paraId="299E5F01" w14:textId="77777777" w:rsidR="00136817" w:rsidRPr="00136817" w:rsidRDefault="00136817" w:rsidP="00136817"/>
          <w:p w14:paraId="5667F573" w14:textId="6FF76CEB" w:rsidR="00136817" w:rsidRDefault="00136817" w:rsidP="00136817"/>
          <w:p w14:paraId="1B93D120" w14:textId="77777777" w:rsidR="00136817" w:rsidRPr="00136817" w:rsidRDefault="00136817" w:rsidP="00136817"/>
          <w:p w14:paraId="43F7ACB5" w14:textId="77777777" w:rsidR="00136817" w:rsidRPr="00136817" w:rsidRDefault="00136817" w:rsidP="00136817"/>
          <w:p w14:paraId="738CB454" w14:textId="77777777" w:rsidR="00136817" w:rsidRPr="00136817" w:rsidRDefault="00136817" w:rsidP="00136817"/>
          <w:p w14:paraId="2274C04A" w14:textId="77777777" w:rsidR="00136817" w:rsidRPr="00136817" w:rsidRDefault="00136817" w:rsidP="00136817"/>
          <w:p w14:paraId="7E198F91" w14:textId="77777777" w:rsidR="00136817" w:rsidRPr="00136817" w:rsidRDefault="00136817" w:rsidP="00136817"/>
          <w:p w14:paraId="3114D697" w14:textId="77777777" w:rsidR="00136817" w:rsidRPr="00136817" w:rsidRDefault="00136817" w:rsidP="00136817"/>
          <w:p w14:paraId="4C67A58A" w14:textId="77777777" w:rsidR="00136817" w:rsidRPr="00136817" w:rsidRDefault="00136817" w:rsidP="00136817"/>
          <w:p w14:paraId="0EBE0D12" w14:textId="77777777" w:rsidR="00136817" w:rsidRPr="00136817" w:rsidRDefault="00136817" w:rsidP="00136817"/>
          <w:p w14:paraId="4F66C4F1" w14:textId="77777777" w:rsidR="00136817" w:rsidRPr="00136817" w:rsidRDefault="00136817" w:rsidP="00136817"/>
          <w:p w14:paraId="35073513" w14:textId="77777777" w:rsidR="00136817" w:rsidRPr="00136817" w:rsidRDefault="00136817" w:rsidP="00136817"/>
          <w:p w14:paraId="44BC2A11" w14:textId="77777777" w:rsidR="00136817" w:rsidRPr="00136817" w:rsidRDefault="00136817" w:rsidP="00136817"/>
          <w:p w14:paraId="6F88CA24" w14:textId="77777777" w:rsidR="00136817" w:rsidRPr="00136817" w:rsidRDefault="00136817" w:rsidP="00136817"/>
          <w:p w14:paraId="71EDEB32" w14:textId="77777777" w:rsidR="00136817" w:rsidRPr="00136817" w:rsidRDefault="00136817" w:rsidP="00136817"/>
          <w:p w14:paraId="6C4AE85B" w14:textId="77777777" w:rsidR="00136817" w:rsidRPr="00136817" w:rsidRDefault="00136817" w:rsidP="00136817"/>
          <w:p w14:paraId="548415B5" w14:textId="77777777" w:rsidR="00136817" w:rsidRPr="00136817" w:rsidRDefault="00136817" w:rsidP="00136817"/>
          <w:p w14:paraId="021A75C0" w14:textId="6A41B0FF" w:rsidR="00136817" w:rsidRDefault="00136817" w:rsidP="00136817"/>
          <w:p w14:paraId="75300438" w14:textId="77777777" w:rsidR="0096073E" w:rsidRPr="00136817" w:rsidRDefault="0096073E" w:rsidP="00136817">
            <w:pPr>
              <w:jc w:val="cente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w:t>
            </w:r>
            <w:r w:rsidRPr="00AD39EC">
              <w:rPr>
                <w:rFonts w:ascii="Times New Roman" w:eastAsia="Calibri" w:hAnsi="Times New Roman" w:cs="Times New Roman"/>
                <w:sz w:val="20"/>
                <w:szCs w:val="20"/>
              </w:rPr>
              <w:lastRenderedPageBreak/>
              <w:t>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Default="00783487" w:rsidP="00783487">
      <w:pPr>
        <w:spacing w:before="0" w:after="0"/>
        <w:contextualSpacing/>
        <w:jc w:val="both"/>
        <w:rPr>
          <w:rFonts w:ascii="Times New Roman" w:eastAsia="Calibri" w:hAnsi="Times New Roman" w:cs="Times New Roman"/>
          <w:sz w:val="20"/>
          <w:szCs w:val="20"/>
        </w:rPr>
      </w:pPr>
    </w:p>
    <w:p w14:paraId="4E1ED386" w14:textId="77777777" w:rsidR="00136817" w:rsidRDefault="00136817" w:rsidP="00783487">
      <w:pPr>
        <w:spacing w:before="0" w:after="0"/>
        <w:contextualSpacing/>
        <w:jc w:val="both"/>
        <w:rPr>
          <w:rFonts w:ascii="Times New Roman" w:eastAsia="Calibri" w:hAnsi="Times New Roman" w:cs="Times New Roman"/>
          <w:sz w:val="20"/>
          <w:szCs w:val="20"/>
        </w:rPr>
      </w:pPr>
    </w:p>
    <w:p w14:paraId="0FA5AD33" w14:textId="77777777" w:rsidR="00136817" w:rsidRDefault="00136817" w:rsidP="00783487">
      <w:pPr>
        <w:spacing w:before="0" w:after="0"/>
        <w:contextualSpacing/>
        <w:jc w:val="both"/>
        <w:rPr>
          <w:rFonts w:ascii="Times New Roman" w:eastAsia="Calibri" w:hAnsi="Times New Roman" w:cs="Times New Roman"/>
          <w:sz w:val="20"/>
          <w:szCs w:val="20"/>
        </w:rPr>
      </w:pPr>
    </w:p>
    <w:p w14:paraId="61F2381F" w14:textId="77777777" w:rsidR="00136817" w:rsidRDefault="00136817" w:rsidP="00783487">
      <w:pPr>
        <w:spacing w:before="0" w:after="0"/>
        <w:contextualSpacing/>
        <w:jc w:val="both"/>
        <w:rPr>
          <w:rFonts w:ascii="Times New Roman" w:eastAsia="Calibri" w:hAnsi="Times New Roman" w:cs="Times New Roman"/>
          <w:sz w:val="20"/>
          <w:szCs w:val="20"/>
        </w:rPr>
      </w:pPr>
    </w:p>
    <w:p w14:paraId="245FD8C0" w14:textId="77777777" w:rsidR="00136817" w:rsidRDefault="00136817" w:rsidP="00783487">
      <w:pPr>
        <w:spacing w:before="0" w:after="0"/>
        <w:contextualSpacing/>
        <w:jc w:val="both"/>
        <w:rPr>
          <w:rFonts w:ascii="Times New Roman" w:eastAsia="Calibri" w:hAnsi="Times New Roman" w:cs="Times New Roman"/>
          <w:sz w:val="20"/>
          <w:szCs w:val="20"/>
        </w:rPr>
      </w:pPr>
    </w:p>
    <w:p w14:paraId="0C0B0F47" w14:textId="77777777" w:rsidR="00136817" w:rsidRDefault="00136817" w:rsidP="00783487">
      <w:pPr>
        <w:spacing w:before="0" w:after="0"/>
        <w:contextualSpacing/>
        <w:jc w:val="both"/>
        <w:rPr>
          <w:rFonts w:ascii="Times New Roman" w:eastAsia="Calibri" w:hAnsi="Times New Roman" w:cs="Times New Roman"/>
          <w:sz w:val="20"/>
          <w:szCs w:val="20"/>
        </w:rPr>
      </w:pPr>
    </w:p>
    <w:p w14:paraId="1F55BBE3" w14:textId="77777777" w:rsidR="00136817" w:rsidRDefault="00136817" w:rsidP="00783487">
      <w:pPr>
        <w:spacing w:before="0" w:after="0"/>
        <w:contextualSpacing/>
        <w:jc w:val="both"/>
        <w:rPr>
          <w:rFonts w:ascii="Times New Roman" w:eastAsia="Calibri" w:hAnsi="Times New Roman" w:cs="Times New Roman"/>
          <w:sz w:val="20"/>
          <w:szCs w:val="20"/>
        </w:rPr>
      </w:pPr>
    </w:p>
    <w:p w14:paraId="3715A392" w14:textId="77777777" w:rsidR="00136817" w:rsidRDefault="00136817" w:rsidP="00783487">
      <w:pPr>
        <w:spacing w:before="0" w:after="0"/>
        <w:contextualSpacing/>
        <w:jc w:val="both"/>
        <w:rPr>
          <w:rFonts w:ascii="Times New Roman" w:eastAsia="Calibri" w:hAnsi="Times New Roman" w:cs="Times New Roman"/>
          <w:sz w:val="20"/>
          <w:szCs w:val="20"/>
        </w:rPr>
      </w:pPr>
    </w:p>
    <w:p w14:paraId="5430E30B" w14:textId="77777777" w:rsidR="00136817" w:rsidRDefault="00136817" w:rsidP="00783487">
      <w:pPr>
        <w:spacing w:before="0" w:after="0"/>
        <w:contextualSpacing/>
        <w:jc w:val="both"/>
        <w:rPr>
          <w:rFonts w:ascii="Times New Roman" w:eastAsia="Calibri" w:hAnsi="Times New Roman" w:cs="Times New Roman"/>
          <w:sz w:val="20"/>
          <w:szCs w:val="20"/>
        </w:rPr>
      </w:pPr>
    </w:p>
    <w:p w14:paraId="7282F004" w14:textId="77777777" w:rsidR="00136817" w:rsidRDefault="00136817" w:rsidP="00783487">
      <w:pPr>
        <w:spacing w:before="0" w:after="0"/>
        <w:contextualSpacing/>
        <w:jc w:val="both"/>
        <w:rPr>
          <w:rFonts w:ascii="Times New Roman" w:eastAsia="Calibri" w:hAnsi="Times New Roman" w:cs="Times New Roman"/>
          <w:sz w:val="20"/>
          <w:szCs w:val="20"/>
        </w:rPr>
      </w:pPr>
    </w:p>
    <w:p w14:paraId="243EAD2F" w14:textId="77777777" w:rsidR="00136817" w:rsidRDefault="00136817" w:rsidP="00783487">
      <w:pPr>
        <w:spacing w:before="0" w:after="0"/>
        <w:contextualSpacing/>
        <w:jc w:val="both"/>
        <w:rPr>
          <w:rFonts w:ascii="Times New Roman" w:eastAsia="Calibri" w:hAnsi="Times New Roman" w:cs="Times New Roman"/>
          <w:sz w:val="20"/>
          <w:szCs w:val="20"/>
        </w:rPr>
      </w:pPr>
    </w:p>
    <w:p w14:paraId="31D79B33" w14:textId="77777777" w:rsidR="00136817" w:rsidRPr="00C93169" w:rsidRDefault="0013681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nacionalnoj razini (sukladno </w:t>
            </w:r>
            <w:r w:rsidRPr="00DC1AD5">
              <w:rPr>
                <w:rFonts w:ascii="Times New Roman" w:hAnsi="Times New Roman"/>
                <w:sz w:val="20"/>
                <w:szCs w:val="20"/>
              </w:rPr>
              <w:lastRenderedPageBreak/>
              <w:t>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 xml:space="preserve">(uključujući </w:t>
            </w:r>
            <w:r>
              <w:rPr>
                <w:rFonts w:ascii="Times New Roman" w:hAnsi="Times New Roman"/>
                <w:sz w:val="20"/>
                <w:szCs w:val="20"/>
              </w:rPr>
              <w:lastRenderedPageBreak/>
              <w:t>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w:t>
            </w:r>
            <w:r w:rsidRPr="00DC1AD5">
              <w:rPr>
                <w:rFonts w:ascii="Times New Roman" w:eastAsia="Calibri" w:hAnsi="Times New Roman" w:cs="Times New Roman"/>
                <w:sz w:val="20"/>
                <w:szCs w:val="20"/>
                <w:lang w:eastAsia="ar-SA"/>
              </w:rPr>
              <w:lastRenderedPageBreak/>
              <w:t>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projektnom prijedlogu je naznačena dodatna mjera (iznad zakonskog minimuma) te je i bodovana na </w:t>
            </w:r>
            <w:r w:rsidRPr="00DC1AD5">
              <w:rPr>
                <w:rFonts w:ascii="Times New Roman" w:eastAsia="Calibri" w:hAnsi="Times New Roman" w:cs="Times New Roman"/>
                <w:sz w:val="20"/>
                <w:szCs w:val="20"/>
              </w:rPr>
              <w:lastRenderedPageBreak/>
              <w:t>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w:t>
            </w:r>
            <w:r w:rsidRPr="00DC1AD5">
              <w:rPr>
                <w:rFonts w:ascii="Times New Roman" w:eastAsia="Calibri" w:hAnsi="Times New Roman" w:cs="Times New Roman"/>
                <w:sz w:val="20"/>
                <w:szCs w:val="20"/>
              </w:rPr>
              <w:lastRenderedPageBreak/>
              <w:t xml:space="preserve">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D18E" w14:textId="77777777" w:rsidR="00DF3655" w:rsidRDefault="00DF3655" w:rsidP="0056094F">
      <w:pPr>
        <w:spacing w:before="0" w:after="0"/>
      </w:pPr>
      <w:r>
        <w:separator/>
      </w:r>
    </w:p>
  </w:endnote>
  <w:endnote w:type="continuationSeparator" w:id="0">
    <w:p w14:paraId="02250260" w14:textId="77777777" w:rsidR="00DF3655" w:rsidRDefault="00DF3655" w:rsidP="0056094F">
      <w:pPr>
        <w:spacing w:before="0" w:after="0"/>
      </w:pPr>
      <w:r>
        <w:continuationSeparator/>
      </w:r>
    </w:p>
  </w:endnote>
  <w:endnote w:type="continuationNotice" w:id="1">
    <w:p w14:paraId="79CEF215" w14:textId="77777777" w:rsidR="00DF3655" w:rsidRDefault="00DF36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27BC2982"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732B98">
              <w:rPr>
                <w:rFonts w:ascii="Times New Roman" w:hAnsi="Times New Roman" w:cs="Times New Roman"/>
                <w:bCs/>
                <w:noProof/>
                <w:sz w:val="18"/>
                <w:szCs w:val="18"/>
              </w:rPr>
              <w:t>21</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732B98">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6FEC" w14:textId="77777777" w:rsidR="00DF3655" w:rsidRDefault="00DF3655" w:rsidP="0056094F">
      <w:pPr>
        <w:spacing w:before="0" w:after="0"/>
      </w:pPr>
      <w:r>
        <w:separator/>
      </w:r>
    </w:p>
  </w:footnote>
  <w:footnote w:type="continuationSeparator" w:id="0">
    <w:p w14:paraId="454DFE11" w14:textId="77777777" w:rsidR="00DF3655" w:rsidRDefault="00DF3655" w:rsidP="0056094F">
      <w:pPr>
        <w:spacing w:before="0" w:after="0"/>
      </w:pPr>
      <w:r>
        <w:continuationSeparator/>
      </w:r>
    </w:p>
  </w:footnote>
  <w:footnote w:type="continuationNotice" w:id="1">
    <w:p w14:paraId="376F7F70" w14:textId="77777777" w:rsidR="00DF3655" w:rsidRDefault="00DF3655">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CAF" w14:textId="77777777" w:rsidR="006462FA" w:rsidRDefault="006462FA" w:rsidP="006462FA">
    <w:pPr>
      <w:pStyle w:val="Header"/>
    </w:pPr>
    <w:r>
      <w:rPr>
        <w:noProof/>
        <w:lang w:eastAsia="hr-HR"/>
      </w:rPr>
      <w:drawing>
        <wp:inline distT="0" distB="0" distL="0" distR="0" wp14:anchorId="2FEEA449" wp14:editId="71214EC5">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Pr>
        <w:noProof/>
        <w:lang w:eastAsia="hr-HR"/>
      </w:rPr>
      <w:drawing>
        <wp:inline distT="0" distB="0" distL="0" distR="0" wp14:anchorId="25D7DBFF" wp14:editId="651F860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4D1F"/>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1F22"/>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A7CE3"/>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4FDD"/>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A7B48"/>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2B98"/>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014"/>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655"/>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593435271">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9439-2546-4243-846A-41D3ABE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10262</Words>
  <Characters>58498</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2023-04-11T10:42:00Z</dcterms:modified>
</cp:coreProperties>
</file>